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110EE" w14:textId="77777777" w:rsidR="002A1343" w:rsidRPr="00F153F3" w:rsidRDefault="002A1343" w:rsidP="002A1343">
      <w:pPr>
        <w:spacing w:line="360" w:lineRule="auto"/>
        <w:jc w:val="center"/>
        <w:rPr>
          <w:rFonts w:cs="Arial"/>
          <w:b/>
          <w:sz w:val="24"/>
          <w:szCs w:val="24"/>
          <w:lang w:val="es-CO"/>
        </w:rPr>
      </w:pPr>
      <w:r w:rsidRPr="00F153F3">
        <w:rPr>
          <w:rFonts w:cs="Arial"/>
          <w:b/>
          <w:sz w:val="24"/>
          <w:szCs w:val="24"/>
          <w:lang w:val="es-CO"/>
        </w:rPr>
        <w:t>INFORME EJECUTIVO DE SÍNTESIS – INFANCIA BOGOTÁ D.C.</w:t>
      </w:r>
    </w:p>
    <w:p w14:paraId="56E59424" w14:textId="4CA34ADC" w:rsidR="002A1343" w:rsidRPr="00F153F3" w:rsidRDefault="002A1343" w:rsidP="002A1343">
      <w:pPr>
        <w:spacing w:before="60" w:after="80" w:line="360" w:lineRule="auto"/>
        <w:jc w:val="center"/>
        <w:rPr>
          <w:rFonts w:cs="Arial"/>
          <w:b/>
          <w:i/>
          <w:sz w:val="24"/>
          <w:szCs w:val="24"/>
          <w:lang w:val="es-CO"/>
        </w:rPr>
      </w:pPr>
      <w:r w:rsidRPr="00F153F3">
        <w:rPr>
          <w:rFonts w:cs="Arial"/>
          <w:b/>
          <w:sz w:val="24"/>
          <w:szCs w:val="24"/>
          <w:lang w:val="es-CO"/>
        </w:rPr>
        <w:t>Comportamiento poblacional y afiliación de niños y niñas de 0 a 9 años, 2021–2025</w:t>
      </w:r>
    </w:p>
    <w:p w14:paraId="457234B7" w14:textId="77777777" w:rsidR="00CF4F8A" w:rsidRDefault="00000000" w:rsidP="002A1343">
      <w:pPr>
        <w:spacing w:before="60" w:after="80" w:line="360" w:lineRule="auto"/>
        <w:rPr>
          <w:rFonts w:cs="Arial"/>
          <w:i/>
          <w:sz w:val="16"/>
          <w:szCs w:val="16"/>
          <w:lang w:val="es-CO"/>
        </w:rPr>
      </w:pPr>
      <w:r w:rsidRPr="00CF4F8A">
        <w:rPr>
          <w:rFonts w:cs="Arial"/>
          <w:i/>
          <w:sz w:val="16"/>
          <w:szCs w:val="16"/>
          <w:lang w:val="es-CO"/>
        </w:rPr>
        <w:t>Fuente base: DANE y Dirección de Aseguramiento y Garantía del Derecho a la Salud – BDUA/ADRES, corte 31 de diciembre de 2025.</w:t>
      </w:r>
      <w:r w:rsidR="00CF4F8A" w:rsidRPr="00CF4F8A">
        <w:rPr>
          <w:rFonts w:cs="Arial"/>
          <w:i/>
          <w:sz w:val="16"/>
          <w:szCs w:val="16"/>
          <w:lang w:val="es-CO"/>
        </w:rPr>
        <w:t xml:space="preserve"> </w:t>
      </w:r>
    </w:p>
    <w:p w14:paraId="2F91B2E0" w14:textId="3A781342" w:rsidR="001F37D0" w:rsidRPr="00CF4F8A" w:rsidRDefault="00CF4F8A" w:rsidP="002A1343">
      <w:pPr>
        <w:spacing w:before="60" w:after="80" w:line="360" w:lineRule="auto"/>
        <w:rPr>
          <w:rFonts w:cs="Arial"/>
          <w:sz w:val="16"/>
          <w:szCs w:val="16"/>
          <w:lang w:val="es-CO"/>
        </w:rPr>
      </w:pPr>
      <w:r w:rsidRPr="00CF4F8A">
        <w:rPr>
          <w:rFonts w:cs="Arial"/>
          <w:i/>
          <w:sz w:val="16"/>
          <w:szCs w:val="16"/>
          <w:lang w:val="es-CO"/>
        </w:rPr>
        <w:t>Elaborado por:</w:t>
      </w:r>
      <w:r w:rsidR="00287401" w:rsidRPr="00287401">
        <w:rPr>
          <w:lang w:val="es-CO"/>
        </w:rPr>
        <w:t xml:space="preserve"> </w:t>
      </w:r>
      <w:r w:rsidR="00287401" w:rsidRPr="00287401">
        <w:rPr>
          <w:rFonts w:cs="Arial"/>
          <w:i/>
          <w:sz w:val="16"/>
          <w:szCs w:val="16"/>
          <w:lang w:val="es-CO"/>
        </w:rPr>
        <w:t>Equipo de análisis estratégico del aseguramiento - SDS</w:t>
      </w:r>
    </w:p>
    <w:p w14:paraId="29F45637" w14:textId="77777777" w:rsidR="002A1343" w:rsidRPr="000E5403" w:rsidRDefault="002A1343" w:rsidP="009540D2">
      <w:pPr>
        <w:spacing w:before="80" w:after="40" w:line="360" w:lineRule="auto"/>
        <w:rPr>
          <w:rFonts w:cs="Arial"/>
          <w:b/>
          <w:sz w:val="22"/>
          <w:lang w:val="es-CO"/>
        </w:rPr>
      </w:pPr>
    </w:p>
    <w:p w14:paraId="038809E7" w14:textId="19A6AAD4" w:rsidR="001F37D0" w:rsidRPr="000E5403" w:rsidRDefault="00000000" w:rsidP="009540D2">
      <w:pPr>
        <w:spacing w:before="80" w:after="40" w:line="360" w:lineRule="auto"/>
        <w:rPr>
          <w:rFonts w:cs="Arial"/>
          <w:sz w:val="22"/>
          <w:lang w:val="es-CO"/>
        </w:rPr>
      </w:pPr>
      <w:r w:rsidRPr="000E5403">
        <w:rPr>
          <w:rFonts w:cs="Arial"/>
          <w:b/>
          <w:sz w:val="22"/>
          <w:lang w:val="es-CO"/>
        </w:rPr>
        <w:t>1. Indicadores clave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63"/>
        <w:gridCol w:w="2661"/>
        <w:gridCol w:w="2661"/>
        <w:gridCol w:w="2661"/>
      </w:tblGrid>
      <w:tr w:rsidR="000E5403" w:rsidRPr="001C43B1" w14:paraId="3FFF65EC" w14:textId="77777777">
        <w:trPr>
          <w:jc w:val="center"/>
        </w:trPr>
        <w:tc>
          <w:tcPr>
            <w:tcW w:w="2664" w:type="dxa"/>
            <w:shd w:val="clear" w:color="auto" w:fill="D9EAF7"/>
            <w:vAlign w:val="center"/>
          </w:tcPr>
          <w:p w14:paraId="14F0A42F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b/>
                <w:szCs w:val="20"/>
                <w:lang w:val="es-CO"/>
              </w:rPr>
              <w:t>Indicador</w:t>
            </w:r>
          </w:p>
        </w:tc>
        <w:tc>
          <w:tcPr>
            <w:tcW w:w="2664" w:type="dxa"/>
            <w:shd w:val="clear" w:color="auto" w:fill="D9EAF7"/>
            <w:vAlign w:val="center"/>
          </w:tcPr>
          <w:p w14:paraId="6ED75A91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b/>
                <w:szCs w:val="20"/>
                <w:lang w:val="es-CO"/>
              </w:rPr>
              <w:t>2021 → 2025</w:t>
            </w:r>
          </w:p>
        </w:tc>
        <w:tc>
          <w:tcPr>
            <w:tcW w:w="2664" w:type="dxa"/>
            <w:shd w:val="clear" w:color="auto" w:fill="D9EAF7"/>
            <w:vAlign w:val="center"/>
          </w:tcPr>
          <w:p w14:paraId="56BA4F0E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b/>
                <w:szCs w:val="20"/>
                <w:lang w:val="es-CO"/>
              </w:rPr>
              <w:t>Variación absoluta</w:t>
            </w:r>
          </w:p>
        </w:tc>
        <w:tc>
          <w:tcPr>
            <w:tcW w:w="2664" w:type="dxa"/>
            <w:shd w:val="clear" w:color="auto" w:fill="D9EAF7"/>
            <w:vAlign w:val="center"/>
          </w:tcPr>
          <w:p w14:paraId="4477B8F5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b/>
                <w:szCs w:val="20"/>
                <w:lang w:val="es-CO"/>
              </w:rPr>
              <w:t>Lectura</w:t>
            </w:r>
          </w:p>
        </w:tc>
      </w:tr>
      <w:tr w:rsidR="000E5403" w:rsidRPr="001C43B1" w14:paraId="410A739F" w14:textId="77777777">
        <w:trPr>
          <w:jc w:val="center"/>
        </w:trPr>
        <w:tc>
          <w:tcPr>
            <w:tcW w:w="2664" w:type="dxa"/>
            <w:vAlign w:val="center"/>
          </w:tcPr>
          <w:p w14:paraId="43F5DD2F" w14:textId="77777777" w:rsidR="001F37D0" w:rsidRPr="001C43B1" w:rsidRDefault="00000000" w:rsidP="009540D2">
            <w:pPr>
              <w:spacing w:line="360" w:lineRule="auto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b/>
                <w:szCs w:val="20"/>
                <w:lang w:val="es-CO"/>
              </w:rPr>
              <w:t>Población DANE 0-9</w:t>
            </w:r>
          </w:p>
        </w:tc>
        <w:tc>
          <w:tcPr>
            <w:tcW w:w="2664" w:type="dxa"/>
            <w:vAlign w:val="center"/>
          </w:tcPr>
          <w:p w14:paraId="4A3334BB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1.207.562 → 1.142.102</w:t>
            </w:r>
          </w:p>
        </w:tc>
        <w:tc>
          <w:tcPr>
            <w:tcW w:w="2664" w:type="dxa"/>
            <w:vAlign w:val="center"/>
          </w:tcPr>
          <w:p w14:paraId="297ACFEA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-65.460</w:t>
            </w:r>
          </w:p>
        </w:tc>
        <w:tc>
          <w:tcPr>
            <w:tcW w:w="2664" w:type="dxa"/>
            <w:vAlign w:val="center"/>
          </w:tcPr>
          <w:p w14:paraId="6786FFA6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-5,4%</w:t>
            </w:r>
          </w:p>
        </w:tc>
      </w:tr>
      <w:tr w:rsidR="000E5403" w:rsidRPr="001C43B1" w14:paraId="3C57C431" w14:textId="77777777">
        <w:trPr>
          <w:jc w:val="center"/>
        </w:trPr>
        <w:tc>
          <w:tcPr>
            <w:tcW w:w="2664" w:type="dxa"/>
            <w:vAlign w:val="center"/>
          </w:tcPr>
          <w:p w14:paraId="49027F51" w14:textId="77777777" w:rsidR="001F37D0" w:rsidRPr="001C43B1" w:rsidRDefault="00000000" w:rsidP="009540D2">
            <w:pPr>
              <w:spacing w:line="360" w:lineRule="auto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b/>
                <w:szCs w:val="20"/>
                <w:lang w:val="es-CO"/>
              </w:rPr>
              <w:t>Afiliación BDUA/ADRES 0-9</w:t>
            </w:r>
          </w:p>
        </w:tc>
        <w:tc>
          <w:tcPr>
            <w:tcW w:w="2664" w:type="dxa"/>
            <w:vAlign w:val="center"/>
          </w:tcPr>
          <w:p w14:paraId="7FDB171F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870.207 → 721.348</w:t>
            </w:r>
          </w:p>
        </w:tc>
        <w:tc>
          <w:tcPr>
            <w:tcW w:w="2664" w:type="dxa"/>
            <w:vAlign w:val="center"/>
          </w:tcPr>
          <w:p w14:paraId="1312F228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-148.859</w:t>
            </w:r>
          </w:p>
        </w:tc>
        <w:tc>
          <w:tcPr>
            <w:tcW w:w="2664" w:type="dxa"/>
            <w:vAlign w:val="center"/>
          </w:tcPr>
          <w:p w14:paraId="58E09F9A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-17,1%</w:t>
            </w:r>
          </w:p>
        </w:tc>
      </w:tr>
      <w:tr w:rsidR="000E5403" w:rsidRPr="001C43B1" w14:paraId="1171EC02" w14:textId="77777777">
        <w:trPr>
          <w:jc w:val="center"/>
        </w:trPr>
        <w:tc>
          <w:tcPr>
            <w:tcW w:w="2664" w:type="dxa"/>
            <w:vAlign w:val="center"/>
          </w:tcPr>
          <w:p w14:paraId="0E0E5F33" w14:textId="77777777" w:rsidR="001F37D0" w:rsidRPr="001C43B1" w:rsidRDefault="00000000" w:rsidP="009540D2">
            <w:pPr>
              <w:spacing w:line="360" w:lineRule="auto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b/>
                <w:szCs w:val="20"/>
                <w:lang w:val="es-CO"/>
              </w:rPr>
              <w:t>Afiliación 0-4 años</w:t>
            </w:r>
          </w:p>
        </w:tc>
        <w:tc>
          <w:tcPr>
            <w:tcW w:w="2664" w:type="dxa"/>
            <w:vAlign w:val="center"/>
          </w:tcPr>
          <w:p w14:paraId="5866E15F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391.106 → 298.836</w:t>
            </w:r>
          </w:p>
        </w:tc>
        <w:tc>
          <w:tcPr>
            <w:tcW w:w="2664" w:type="dxa"/>
            <w:vAlign w:val="center"/>
          </w:tcPr>
          <w:p w14:paraId="7DE0DC0A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-92.270</w:t>
            </w:r>
          </w:p>
        </w:tc>
        <w:tc>
          <w:tcPr>
            <w:tcW w:w="2664" w:type="dxa"/>
            <w:vAlign w:val="center"/>
          </w:tcPr>
          <w:p w14:paraId="3666665E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-23,6%</w:t>
            </w:r>
          </w:p>
        </w:tc>
      </w:tr>
      <w:tr w:rsidR="000E5403" w:rsidRPr="001C43B1" w14:paraId="39812AAF" w14:textId="77777777">
        <w:trPr>
          <w:jc w:val="center"/>
        </w:trPr>
        <w:tc>
          <w:tcPr>
            <w:tcW w:w="2664" w:type="dxa"/>
            <w:vAlign w:val="center"/>
          </w:tcPr>
          <w:p w14:paraId="5A77C39E" w14:textId="77777777" w:rsidR="001F37D0" w:rsidRPr="001C43B1" w:rsidRDefault="00000000" w:rsidP="009540D2">
            <w:pPr>
              <w:spacing w:line="360" w:lineRule="auto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b/>
                <w:szCs w:val="20"/>
                <w:lang w:val="es-CO"/>
              </w:rPr>
              <w:t>Afiliación 5-9 años</w:t>
            </w:r>
          </w:p>
        </w:tc>
        <w:tc>
          <w:tcPr>
            <w:tcW w:w="2664" w:type="dxa"/>
            <w:vAlign w:val="center"/>
          </w:tcPr>
          <w:p w14:paraId="3F987BC2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479.101 → 422.512</w:t>
            </w:r>
          </w:p>
        </w:tc>
        <w:tc>
          <w:tcPr>
            <w:tcW w:w="2664" w:type="dxa"/>
            <w:vAlign w:val="center"/>
          </w:tcPr>
          <w:p w14:paraId="57D0A8E0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-56.589</w:t>
            </w:r>
          </w:p>
        </w:tc>
        <w:tc>
          <w:tcPr>
            <w:tcW w:w="2664" w:type="dxa"/>
            <w:vAlign w:val="center"/>
          </w:tcPr>
          <w:p w14:paraId="7AEB8CB0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-11,8%</w:t>
            </w:r>
          </w:p>
        </w:tc>
      </w:tr>
      <w:tr w:rsidR="000E5403" w:rsidRPr="001C43B1" w14:paraId="2ED1DBDF" w14:textId="77777777">
        <w:trPr>
          <w:jc w:val="center"/>
        </w:trPr>
        <w:tc>
          <w:tcPr>
            <w:tcW w:w="2664" w:type="dxa"/>
            <w:vAlign w:val="center"/>
          </w:tcPr>
          <w:p w14:paraId="2B4F4109" w14:textId="77777777" w:rsidR="001F37D0" w:rsidRPr="001C43B1" w:rsidRDefault="00000000" w:rsidP="009540D2">
            <w:pPr>
              <w:spacing w:line="360" w:lineRule="auto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b/>
                <w:szCs w:val="20"/>
                <w:lang w:val="es-CO"/>
              </w:rPr>
              <w:t>Brecha DANE–BDUA 0-9</w:t>
            </w:r>
          </w:p>
        </w:tc>
        <w:tc>
          <w:tcPr>
            <w:tcW w:w="2664" w:type="dxa"/>
            <w:vAlign w:val="center"/>
          </w:tcPr>
          <w:p w14:paraId="1A7EB85C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337.355 → 420.754</w:t>
            </w:r>
          </w:p>
        </w:tc>
        <w:tc>
          <w:tcPr>
            <w:tcW w:w="2664" w:type="dxa"/>
            <w:vAlign w:val="center"/>
          </w:tcPr>
          <w:p w14:paraId="0A735CD8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+83.399</w:t>
            </w:r>
          </w:p>
        </w:tc>
        <w:tc>
          <w:tcPr>
            <w:tcW w:w="2664" w:type="dxa"/>
            <w:vAlign w:val="center"/>
          </w:tcPr>
          <w:p w14:paraId="06BD7F86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Relación 72,1% → 63,2%</w:t>
            </w:r>
          </w:p>
        </w:tc>
      </w:tr>
      <w:tr w:rsidR="000E5403" w:rsidRPr="001C43B1" w14:paraId="2A16B820" w14:textId="77777777">
        <w:trPr>
          <w:jc w:val="center"/>
        </w:trPr>
        <w:tc>
          <w:tcPr>
            <w:tcW w:w="2664" w:type="dxa"/>
            <w:vAlign w:val="center"/>
          </w:tcPr>
          <w:p w14:paraId="43ECC996" w14:textId="77777777" w:rsidR="001F37D0" w:rsidRPr="001C43B1" w:rsidRDefault="00000000" w:rsidP="009540D2">
            <w:pPr>
              <w:spacing w:line="360" w:lineRule="auto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b/>
                <w:szCs w:val="20"/>
                <w:lang w:val="es-CO"/>
              </w:rPr>
              <w:t>Régimen contributivo</w:t>
            </w:r>
          </w:p>
        </w:tc>
        <w:tc>
          <w:tcPr>
            <w:tcW w:w="2664" w:type="dxa"/>
            <w:vAlign w:val="center"/>
          </w:tcPr>
          <w:p w14:paraId="6DFE5595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675.481 → 500.227</w:t>
            </w:r>
          </w:p>
        </w:tc>
        <w:tc>
          <w:tcPr>
            <w:tcW w:w="2664" w:type="dxa"/>
            <w:vAlign w:val="center"/>
          </w:tcPr>
          <w:p w14:paraId="51262A04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-175.254</w:t>
            </w:r>
          </w:p>
        </w:tc>
        <w:tc>
          <w:tcPr>
            <w:tcW w:w="2664" w:type="dxa"/>
            <w:vAlign w:val="center"/>
          </w:tcPr>
          <w:p w14:paraId="4026C314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-25,9%</w:t>
            </w:r>
          </w:p>
        </w:tc>
      </w:tr>
      <w:tr w:rsidR="000E5403" w:rsidRPr="001C43B1" w14:paraId="4DC8C8FD" w14:textId="77777777">
        <w:trPr>
          <w:jc w:val="center"/>
        </w:trPr>
        <w:tc>
          <w:tcPr>
            <w:tcW w:w="2664" w:type="dxa"/>
            <w:vAlign w:val="center"/>
          </w:tcPr>
          <w:p w14:paraId="44A25FA5" w14:textId="77777777" w:rsidR="001F37D0" w:rsidRPr="001C43B1" w:rsidRDefault="00000000" w:rsidP="009540D2">
            <w:pPr>
              <w:spacing w:line="360" w:lineRule="auto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b/>
                <w:szCs w:val="20"/>
                <w:lang w:val="es-CO"/>
              </w:rPr>
              <w:t>Régimen subsidiado</w:t>
            </w:r>
          </w:p>
        </w:tc>
        <w:tc>
          <w:tcPr>
            <w:tcW w:w="2664" w:type="dxa"/>
            <w:vAlign w:val="center"/>
          </w:tcPr>
          <w:p w14:paraId="243C0360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194.726 → 221.121</w:t>
            </w:r>
          </w:p>
        </w:tc>
        <w:tc>
          <w:tcPr>
            <w:tcW w:w="2664" w:type="dxa"/>
            <w:vAlign w:val="center"/>
          </w:tcPr>
          <w:p w14:paraId="2D5A49D3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+26.395</w:t>
            </w:r>
          </w:p>
        </w:tc>
        <w:tc>
          <w:tcPr>
            <w:tcW w:w="2664" w:type="dxa"/>
            <w:vAlign w:val="center"/>
          </w:tcPr>
          <w:p w14:paraId="7BCEF638" w14:textId="77777777" w:rsidR="001F37D0" w:rsidRPr="001C43B1" w:rsidRDefault="00000000" w:rsidP="009540D2">
            <w:pPr>
              <w:spacing w:line="360" w:lineRule="auto"/>
              <w:jc w:val="center"/>
              <w:rPr>
                <w:rFonts w:cs="Arial"/>
                <w:szCs w:val="20"/>
                <w:lang w:val="es-CO"/>
              </w:rPr>
            </w:pPr>
            <w:r w:rsidRPr="001C43B1">
              <w:rPr>
                <w:rFonts w:cs="Arial"/>
                <w:szCs w:val="20"/>
                <w:lang w:val="es-CO"/>
              </w:rPr>
              <w:t>+13,6%</w:t>
            </w:r>
          </w:p>
        </w:tc>
      </w:tr>
    </w:tbl>
    <w:p w14:paraId="1F945C53" w14:textId="77777777" w:rsidR="002A1343" w:rsidRPr="000E5403" w:rsidRDefault="002A1343" w:rsidP="009540D2">
      <w:pPr>
        <w:spacing w:before="80" w:after="40" w:line="360" w:lineRule="auto"/>
        <w:rPr>
          <w:rFonts w:cs="Arial"/>
          <w:b/>
          <w:sz w:val="22"/>
          <w:lang w:val="es-CO"/>
        </w:rPr>
      </w:pPr>
    </w:p>
    <w:p w14:paraId="2AD37B7C" w14:textId="35C34755" w:rsidR="001F37D0" w:rsidRPr="000E5403" w:rsidRDefault="00000000" w:rsidP="009540D2">
      <w:pPr>
        <w:spacing w:before="80" w:after="40" w:line="360" w:lineRule="auto"/>
        <w:rPr>
          <w:rFonts w:cs="Arial"/>
          <w:sz w:val="22"/>
          <w:lang w:val="es-CO"/>
        </w:rPr>
      </w:pPr>
      <w:r w:rsidRPr="000E5403">
        <w:rPr>
          <w:rFonts w:cs="Arial"/>
          <w:b/>
          <w:sz w:val="22"/>
          <w:lang w:val="es-CO"/>
        </w:rPr>
        <w:t xml:space="preserve">2. Lectura ejecutiva </w:t>
      </w:r>
    </w:p>
    <w:p w14:paraId="119FA14A" w14:textId="77777777" w:rsidR="000E5403" w:rsidRDefault="000E5403" w:rsidP="009540D2">
      <w:pPr>
        <w:spacing w:after="60" w:line="360" w:lineRule="auto"/>
        <w:jc w:val="both"/>
        <w:rPr>
          <w:rFonts w:cs="Arial"/>
          <w:sz w:val="22"/>
          <w:lang w:val="es-CO"/>
        </w:rPr>
      </w:pPr>
    </w:p>
    <w:p w14:paraId="0E351B44" w14:textId="489EDD61" w:rsidR="001F37D0" w:rsidRPr="000E5403" w:rsidRDefault="00000000" w:rsidP="009540D2">
      <w:pPr>
        <w:spacing w:after="60" w:line="360" w:lineRule="auto"/>
        <w:jc w:val="both"/>
        <w:rPr>
          <w:rFonts w:cs="Arial"/>
          <w:sz w:val="22"/>
          <w:lang w:val="es-CO"/>
        </w:rPr>
      </w:pPr>
      <w:r w:rsidRPr="000E5403">
        <w:rPr>
          <w:rFonts w:cs="Arial"/>
          <w:sz w:val="22"/>
          <w:lang w:val="es-CO"/>
        </w:rPr>
        <w:t>El informe permite diferenciar dos niveles de análisis: el contexto poblacional DANE y la dinámica administrativa de afiliación al SGSSS registrada en BDUA/ADRES. La población DANE de 0 a 9 años muestra una reducción moderada de 65.460 personas (-5,4%) entre 2021 y 2025, mientras que la afiliación observada en BDUA/ADRES cae con mayor intensidad: 148.859 registros menos (-17,1%). Esta diferencia indica que la afiliación infantil se está reduciendo más rápido que la población de referencia, por lo cual el fenómeno debe leerse como una combinación de cambios demográficos y dinámicas propias del aseguramiento.</w:t>
      </w:r>
    </w:p>
    <w:p w14:paraId="44283FD0" w14:textId="77777777" w:rsidR="004A29C4" w:rsidRPr="000E5403" w:rsidRDefault="004A29C4" w:rsidP="009540D2">
      <w:pPr>
        <w:spacing w:after="60" w:line="360" w:lineRule="auto"/>
        <w:jc w:val="both"/>
        <w:rPr>
          <w:rFonts w:cs="Arial"/>
          <w:sz w:val="22"/>
          <w:lang w:val="es-CO"/>
        </w:rPr>
      </w:pPr>
    </w:p>
    <w:p w14:paraId="2663C3AA" w14:textId="77777777" w:rsidR="001F37D0" w:rsidRPr="000E5403" w:rsidRDefault="00000000" w:rsidP="009540D2">
      <w:pPr>
        <w:spacing w:after="60" w:line="360" w:lineRule="auto"/>
        <w:jc w:val="both"/>
        <w:rPr>
          <w:rFonts w:cs="Arial"/>
          <w:sz w:val="22"/>
          <w:lang w:val="es-CO"/>
        </w:rPr>
      </w:pPr>
      <w:r w:rsidRPr="000E5403">
        <w:rPr>
          <w:rFonts w:cs="Arial"/>
          <w:sz w:val="22"/>
          <w:lang w:val="es-CO"/>
        </w:rPr>
        <w:t>El principal hallazgo etario se concentra en la primera infancia. El grupo de 0 a 4 años disminuye en 92.270 afiliados (-23,6%) y explica el 62,0% de la reducción total; en contraste, el grupo de 5 a 9 años se reduce en 56.589 registros (-11,8%). Esta distribución es consistente con un efecto cohorte: la reducción de nacimientos y la menor fecundidad impactan primero a los menores de cinco años y posteriormente se reflejan en grupos de mayor edad. Por tanto, el descenso en 0-4 años es una señal temprana para ajustar metas de vacunación, crecimiento y desarrollo, nutrición, salud oral y atención pediátrica.</w:t>
      </w:r>
    </w:p>
    <w:p w14:paraId="6CE0BC45" w14:textId="77777777" w:rsidR="009540D2" w:rsidRPr="000E5403" w:rsidRDefault="009540D2" w:rsidP="009540D2">
      <w:pPr>
        <w:spacing w:after="60" w:line="360" w:lineRule="auto"/>
        <w:jc w:val="both"/>
        <w:rPr>
          <w:rFonts w:cs="Arial"/>
          <w:sz w:val="22"/>
          <w:lang w:val="es-CO"/>
        </w:rPr>
      </w:pPr>
    </w:p>
    <w:p w14:paraId="5C5620EE" w14:textId="77777777" w:rsidR="001F37D0" w:rsidRPr="000E5403" w:rsidRDefault="00000000" w:rsidP="009540D2">
      <w:pPr>
        <w:spacing w:after="60" w:line="360" w:lineRule="auto"/>
        <w:jc w:val="both"/>
        <w:rPr>
          <w:rFonts w:cs="Arial"/>
          <w:sz w:val="22"/>
          <w:lang w:val="es-CO"/>
        </w:rPr>
      </w:pPr>
      <w:r w:rsidRPr="000E5403">
        <w:rPr>
          <w:rFonts w:cs="Arial"/>
          <w:sz w:val="22"/>
          <w:lang w:val="es-CO"/>
        </w:rPr>
        <w:t xml:space="preserve">El comparativo DANE vs. BDUA/ADRES evidencia una brecha creciente entre la población de referencia y la afiliación observada. Para el total de 0 a 9 años, la brecha pasa de 337.355 a 420.754 y la relación BDUA/DANE desciende de 72,1% a 63,2%. En el grupo de 0 a 4 años la relación cae de 67,8% a 54,6%, lo </w:t>
      </w:r>
      <w:r w:rsidRPr="000E5403">
        <w:rPr>
          <w:rFonts w:cs="Arial"/>
          <w:sz w:val="22"/>
          <w:lang w:val="es-CO"/>
        </w:rPr>
        <w:lastRenderedPageBreak/>
        <w:t>que confirma que la mayor diferencia se concentra en primera infancia. Esta brecha no debe interpretarse automáticamente como población no afiliada, sino como una diferencia entre fuentes con alcances, cortes y finalidades distintas.</w:t>
      </w:r>
    </w:p>
    <w:p w14:paraId="3A8CD66C" w14:textId="77777777" w:rsidR="00EB0027" w:rsidRPr="000E5403" w:rsidRDefault="00EB0027" w:rsidP="009540D2">
      <w:pPr>
        <w:spacing w:after="60" w:line="360" w:lineRule="auto"/>
        <w:jc w:val="both"/>
        <w:rPr>
          <w:rFonts w:cs="Arial"/>
          <w:sz w:val="22"/>
          <w:lang w:val="es-CO"/>
        </w:rPr>
      </w:pPr>
    </w:p>
    <w:p w14:paraId="6F3A31EF" w14:textId="77777777" w:rsidR="001F37D0" w:rsidRDefault="00000000" w:rsidP="009540D2">
      <w:pPr>
        <w:spacing w:before="80" w:after="40" w:line="360" w:lineRule="auto"/>
        <w:rPr>
          <w:rFonts w:cs="Arial"/>
          <w:b/>
          <w:sz w:val="22"/>
          <w:lang w:val="es-CO"/>
        </w:rPr>
      </w:pPr>
      <w:r w:rsidRPr="000E5403">
        <w:rPr>
          <w:rFonts w:cs="Arial"/>
          <w:b/>
          <w:sz w:val="22"/>
          <w:lang w:val="es-CO"/>
        </w:rPr>
        <w:t>3. Hallazgos para gestión y seguimiento</w:t>
      </w:r>
    </w:p>
    <w:p w14:paraId="32F153F0" w14:textId="77777777" w:rsidR="005B7020" w:rsidRPr="000E5403" w:rsidRDefault="005B7020" w:rsidP="009540D2">
      <w:pPr>
        <w:spacing w:before="80" w:after="40" w:line="360" w:lineRule="auto"/>
        <w:rPr>
          <w:rFonts w:cs="Arial"/>
          <w:sz w:val="22"/>
          <w:lang w:val="es-CO"/>
        </w:rPr>
      </w:pPr>
    </w:p>
    <w:p w14:paraId="269A981C" w14:textId="54AC0812" w:rsidR="001F37D0" w:rsidRPr="000E5403" w:rsidRDefault="00000000" w:rsidP="002A1343">
      <w:pPr>
        <w:pStyle w:val="Prrafodelista"/>
        <w:numPr>
          <w:ilvl w:val="0"/>
          <w:numId w:val="12"/>
        </w:numPr>
        <w:spacing w:after="30" w:line="360" w:lineRule="auto"/>
        <w:jc w:val="both"/>
        <w:rPr>
          <w:rFonts w:cs="Arial"/>
          <w:sz w:val="22"/>
          <w:lang w:val="es-CO"/>
        </w:rPr>
      </w:pPr>
      <w:r w:rsidRPr="000E5403">
        <w:rPr>
          <w:rFonts w:cs="Arial"/>
          <w:b/>
          <w:sz w:val="22"/>
          <w:lang w:val="es-CO"/>
        </w:rPr>
        <w:t xml:space="preserve">Recomposición por régimen: </w:t>
      </w:r>
      <w:r w:rsidRPr="000E5403">
        <w:rPr>
          <w:rFonts w:cs="Arial"/>
          <w:sz w:val="22"/>
          <w:lang w:val="es-CO"/>
        </w:rPr>
        <w:t>El régimen contributivo disminuye en 175.254 afiliados (-25,9%), mientras el subsidiado aumenta en 26.395 registros (+13,6%). La participación subsidiada pasa de 22,4% a 30,7%, evidenciando una recomposición del aseguramiento infantil hacia población potencialmente más vulnerable.</w:t>
      </w:r>
    </w:p>
    <w:p w14:paraId="13CA2E6F" w14:textId="006612B0" w:rsidR="001F37D0" w:rsidRPr="000E5403" w:rsidRDefault="00000000" w:rsidP="002A1343">
      <w:pPr>
        <w:pStyle w:val="Prrafodelista"/>
        <w:numPr>
          <w:ilvl w:val="0"/>
          <w:numId w:val="12"/>
        </w:numPr>
        <w:spacing w:after="30" w:line="360" w:lineRule="auto"/>
        <w:jc w:val="both"/>
        <w:rPr>
          <w:rFonts w:cs="Arial"/>
          <w:sz w:val="22"/>
          <w:lang w:val="es-CO"/>
        </w:rPr>
      </w:pPr>
      <w:r w:rsidRPr="000E5403">
        <w:rPr>
          <w:rFonts w:cs="Arial"/>
          <w:b/>
          <w:sz w:val="22"/>
          <w:lang w:val="es-CO"/>
        </w:rPr>
        <w:t xml:space="preserve">Concentración por EPS: </w:t>
      </w:r>
      <w:r w:rsidRPr="000E5403">
        <w:rPr>
          <w:rFonts w:cs="Arial"/>
          <w:sz w:val="22"/>
          <w:lang w:val="es-CO"/>
        </w:rPr>
        <w:t>Sanitas, Compensar, Capital Salud, Salud Total y Famisanar concentran 611.513 afiliados de 0 a 9 años en 2025, equivalentes al 84,8% del total. Estas EPS son estratégicas para demanda inducida, gestión del riesgo, rutas integrales de atención infantil y seguimiento a cohortes.</w:t>
      </w:r>
    </w:p>
    <w:p w14:paraId="4E641E02" w14:textId="129BDB09" w:rsidR="001F37D0" w:rsidRPr="000E5403" w:rsidRDefault="00000000" w:rsidP="002A1343">
      <w:pPr>
        <w:pStyle w:val="Prrafodelista"/>
        <w:numPr>
          <w:ilvl w:val="0"/>
          <w:numId w:val="12"/>
        </w:numPr>
        <w:spacing w:after="30" w:line="360" w:lineRule="auto"/>
        <w:jc w:val="both"/>
        <w:rPr>
          <w:rFonts w:cs="Arial"/>
          <w:sz w:val="22"/>
          <w:lang w:val="es-CO"/>
        </w:rPr>
      </w:pPr>
      <w:r w:rsidRPr="000E5403">
        <w:rPr>
          <w:rFonts w:cs="Arial"/>
          <w:b/>
          <w:sz w:val="22"/>
          <w:lang w:val="es-CO"/>
        </w:rPr>
        <w:t xml:space="preserve">EPS con mayor reducción: </w:t>
      </w:r>
      <w:r w:rsidRPr="000E5403">
        <w:rPr>
          <w:rFonts w:cs="Arial"/>
          <w:sz w:val="22"/>
          <w:lang w:val="es-CO"/>
        </w:rPr>
        <w:t>Las mayores reducciones absolutas se observan en Famisanar (-59.228), Compensar (-47.376), Capital Salud (-10.349), Medimás (-9.928) y Sanitas (-9.889). Estos cambios requieren revisión de continuidad de afiliación, traslados, depuración de registros y capacidad operativa.</w:t>
      </w:r>
    </w:p>
    <w:p w14:paraId="71E009B7" w14:textId="666AA07B" w:rsidR="001F37D0" w:rsidRPr="000E5403" w:rsidRDefault="00000000" w:rsidP="002A1343">
      <w:pPr>
        <w:pStyle w:val="Prrafodelista"/>
        <w:numPr>
          <w:ilvl w:val="0"/>
          <w:numId w:val="12"/>
        </w:numPr>
        <w:spacing w:after="30" w:line="360" w:lineRule="auto"/>
        <w:jc w:val="both"/>
        <w:rPr>
          <w:rFonts w:cs="Arial"/>
          <w:sz w:val="22"/>
          <w:lang w:val="es-CO"/>
        </w:rPr>
      </w:pPr>
      <w:r w:rsidRPr="000E5403">
        <w:rPr>
          <w:rFonts w:cs="Arial"/>
          <w:b/>
          <w:sz w:val="22"/>
          <w:lang w:val="es-CO"/>
        </w:rPr>
        <w:t xml:space="preserve">Fenómeno multicausal: </w:t>
      </w:r>
      <w:r w:rsidRPr="000E5403">
        <w:rPr>
          <w:rFonts w:cs="Arial"/>
          <w:sz w:val="22"/>
          <w:lang w:val="es-CO"/>
        </w:rPr>
        <w:t>La disminución combina menor natalidad y fecundidad, postergación de la maternidad, cambios en hogares, costo de vivienda y crianza, movilidad residencial y ajustes administrativos de BDUA/ADRES. Por tanto, no debe atribuirse a una única causa.</w:t>
      </w:r>
    </w:p>
    <w:p w14:paraId="118C8B5A" w14:textId="77777777" w:rsidR="002A1343" w:rsidRPr="000E5403" w:rsidRDefault="002A1343" w:rsidP="00893564">
      <w:pPr>
        <w:pStyle w:val="Prrafodelista"/>
        <w:spacing w:after="30" w:line="360" w:lineRule="auto"/>
        <w:ind w:left="532"/>
        <w:jc w:val="both"/>
        <w:rPr>
          <w:rFonts w:cs="Arial"/>
          <w:sz w:val="22"/>
          <w:lang w:val="es-CO"/>
        </w:rPr>
      </w:pPr>
    </w:p>
    <w:p w14:paraId="3AE1AD43" w14:textId="4457B88F" w:rsidR="001F37D0" w:rsidRPr="000E5403" w:rsidRDefault="00000000" w:rsidP="009540D2">
      <w:pPr>
        <w:spacing w:before="80" w:after="40" w:line="360" w:lineRule="auto"/>
        <w:rPr>
          <w:rFonts w:cs="Arial"/>
          <w:b/>
          <w:sz w:val="22"/>
          <w:lang w:val="es-CO"/>
        </w:rPr>
      </w:pPr>
      <w:r w:rsidRPr="000E5403">
        <w:rPr>
          <w:rFonts w:cs="Arial"/>
          <w:b/>
          <w:sz w:val="22"/>
          <w:lang w:val="es-CO"/>
        </w:rPr>
        <w:t>4. Implicaciones direct</w:t>
      </w:r>
      <w:r w:rsidR="00F153F3">
        <w:rPr>
          <w:rFonts w:cs="Arial"/>
          <w:b/>
          <w:sz w:val="22"/>
          <w:lang w:val="es-CO"/>
        </w:rPr>
        <w:t>as a la SDS</w:t>
      </w:r>
    </w:p>
    <w:p w14:paraId="6C23D7ED" w14:textId="77777777" w:rsidR="00893564" w:rsidRPr="000E5403" w:rsidRDefault="00893564" w:rsidP="009540D2">
      <w:pPr>
        <w:spacing w:before="80" w:after="40" w:line="360" w:lineRule="auto"/>
        <w:rPr>
          <w:rFonts w:cs="Arial"/>
          <w:sz w:val="22"/>
          <w:lang w:val="es-CO"/>
        </w:rPr>
      </w:pPr>
    </w:p>
    <w:p w14:paraId="7EC0BFDF" w14:textId="6D604F82" w:rsidR="001F37D0" w:rsidRPr="000E5403" w:rsidRDefault="00000000" w:rsidP="00893564">
      <w:pPr>
        <w:pStyle w:val="Prrafodelista"/>
        <w:numPr>
          <w:ilvl w:val="0"/>
          <w:numId w:val="12"/>
        </w:numPr>
        <w:spacing w:after="30" w:line="360" w:lineRule="auto"/>
        <w:rPr>
          <w:rFonts w:cs="Arial"/>
          <w:sz w:val="22"/>
          <w:lang w:val="es-CO"/>
        </w:rPr>
      </w:pPr>
      <w:r w:rsidRPr="000E5403">
        <w:rPr>
          <w:rFonts w:cs="Arial"/>
          <w:sz w:val="22"/>
          <w:lang w:val="es-CO"/>
        </w:rPr>
        <w:t>Actualizar metas con enfoque de cohortes, usando DANE, estadísticas vitales y BDUA/ADRES como fuentes complementarias.</w:t>
      </w:r>
    </w:p>
    <w:p w14:paraId="438DDABA" w14:textId="1EEC9EA8" w:rsidR="001F37D0" w:rsidRPr="000E5403" w:rsidRDefault="00000000" w:rsidP="00893564">
      <w:pPr>
        <w:pStyle w:val="Prrafodelista"/>
        <w:numPr>
          <w:ilvl w:val="0"/>
          <w:numId w:val="12"/>
        </w:numPr>
        <w:spacing w:after="30" w:line="360" w:lineRule="auto"/>
        <w:rPr>
          <w:rFonts w:cs="Arial"/>
          <w:sz w:val="22"/>
          <w:lang w:val="es-CO"/>
        </w:rPr>
      </w:pPr>
      <w:r w:rsidRPr="000E5403">
        <w:rPr>
          <w:rFonts w:cs="Arial"/>
          <w:sz w:val="22"/>
          <w:lang w:val="es-CO"/>
        </w:rPr>
        <w:t xml:space="preserve">Mantener capacidades esenciales de atención </w:t>
      </w:r>
      <w:proofErr w:type="gramStart"/>
      <w:r w:rsidRPr="000E5403">
        <w:rPr>
          <w:rFonts w:cs="Arial"/>
          <w:sz w:val="22"/>
          <w:lang w:val="es-CO"/>
        </w:rPr>
        <w:t>infantil</w:t>
      </w:r>
      <w:proofErr w:type="gramEnd"/>
      <w:r w:rsidRPr="000E5403">
        <w:rPr>
          <w:rFonts w:cs="Arial"/>
          <w:sz w:val="22"/>
          <w:lang w:val="es-CO"/>
        </w:rPr>
        <w:t xml:space="preserve"> aunque disminuya la afiliación: vacunación, crecimiento y desarrollo, nutrición, salud oral, salud mental infantil y pediatría.</w:t>
      </w:r>
    </w:p>
    <w:p w14:paraId="340CF035" w14:textId="2D7B94B9" w:rsidR="001F37D0" w:rsidRPr="000E5403" w:rsidRDefault="00000000" w:rsidP="00893564">
      <w:pPr>
        <w:pStyle w:val="Prrafodelista"/>
        <w:numPr>
          <w:ilvl w:val="0"/>
          <w:numId w:val="12"/>
        </w:numPr>
        <w:spacing w:after="30" w:line="360" w:lineRule="auto"/>
        <w:rPr>
          <w:rFonts w:cs="Arial"/>
          <w:sz w:val="22"/>
          <w:lang w:val="es-CO"/>
        </w:rPr>
      </w:pPr>
      <w:r w:rsidRPr="000E5403">
        <w:rPr>
          <w:rFonts w:cs="Arial"/>
          <w:sz w:val="22"/>
          <w:lang w:val="es-CO"/>
        </w:rPr>
        <w:t>Priorizar seguimiento a EPS de mayor concentración y mayor reducción para verificar continuidad del aseguramiento y oportunidad en rutas de atención.</w:t>
      </w:r>
    </w:p>
    <w:p w14:paraId="6F67E489" w14:textId="5A0ADE16" w:rsidR="001F37D0" w:rsidRDefault="00000000" w:rsidP="00893564">
      <w:pPr>
        <w:pStyle w:val="Prrafodelista"/>
        <w:numPr>
          <w:ilvl w:val="0"/>
          <w:numId w:val="12"/>
        </w:numPr>
        <w:spacing w:after="30" w:line="360" w:lineRule="auto"/>
        <w:rPr>
          <w:rFonts w:cs="Arial"/>
          <w:sz w:val="22"/>
          <w:lang w:val="es-CO"/>
        </w:rPr>
      </w:pPr>
      <w:r w:rsidRPr="000E5403">
        <w:rPr>
          <w:rFonts w:cs="Arial"/>
          <w:sz w:val="22"/>
          <w:lang w:val="es-CO"/>
        </w:rPr>
        <w:t>Profundizar análisis por localidad, sexo, edad simple, régimen, EPS y estado de afiliación para pasar del diagnóstico agregado a una planeación territorial focalizada.</w:t>
      </w:r>
    </w:p>
    <w:p w14:paraId="2A916385" w14:textId="77777777" w:rsidR="00984D60" w:rsidRPr="000E5403" w:rsidRDefault="00984D60" w:rsidP="00984D60">
      <w:pPr>
        <w:pStyle w:val="Prrafodelista"/>
        <w:spacing w:after="30" w:line="360" w:lineRule="auto"/>
        <w:ind w:left="532"/>
        <w:rPr>
          <w:rFonts w:cs="Arial"/>
          <w:sz w:val="22"/>
          <w:lang w:val="es-CO"/>
        </w:rPr>
      </w:pPr>
    </w:p>
    <w:p w14:paraId="737075FB" w14:textId="74502ED9" w:rsidR="009D064A" w:rsidRPr="000E5403" w:rsidRDefault="00984D60" w:rsidP="00F153F3">
      <w:pPr>
        <w:pStyle w:val="Prrafodelista"/>
        <w:spacing w:after="30" w:line="360" w:lineRule="auto"/>
        <w:ind w:left="532"/>
        <w:rPr>
          <w:rFonts w:cs="Arial"/>
          <w:sz w:val="22"/>
          <w:lang w:val="es-CO"/>
        </w:rPr>
      </w:pPr>
      <w:r w:rsidRPr="00984D60">
        <w:rPr>
          <w:rFonts w:cs="Arial"/>
          <w:b/>
          <w:bCs/>
          <w:i/>
          <w:iCs/>
          <w:sz w:val="22"/>
          <w:lang w:val="es-CO"/>
        </w:rPr>
        <w:t>Nota técnica: La BDUA/ADRES caracteriza registros de afiliación al SGSSS y no sustituye las estimaciones de población residente del DANE. La brecha entre ambas fuentes es un insumo de análisis y no equivale automáticamente a población no afiliada</w:t>
      </w:r>
      <w:r w:rsidRPr="00984D60">
        <w:rPr>
          <w:rFonts w:cs="Arial"/>
          <w:sz w:val="22"/>
          <w:lang w:val="es-CO"/>
        </w:rPr>
        <w:t>.</w:t>
      </w:r>
    </w:p>
    <w:sectPr w:rsidR="009D064A" w:rsidRPr="000E5403" w:rsidSect="00034616"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98471CE"/>
    <w:multiLevelType w:val="hybridMultilevel"/>
    <w:tmpl w:val="94F64662"/>
    <w:lvl w:ilvl="0" w:tplc="240A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0" w15:restartNumberingAfterBreak="0">
    <w:nsid w:val="40C80B4F"/>
    <w:multiLevelType w:val="hybridMultilevel"/>
    <w:tmpl w:val="BDE6C1B2"/>
    <w:lvl w:ilvl="0" w:tplc="06BCB484">
      <w:start w:val="8"/>
      <w:numFmt w:val="bullet"/>
      <w:lvlText w:val="•"/>
      <w:lvlJc w:val="left"/>
      <w:pPr>
        <w:ind w:left="446" w:hanging="360"/>
      </w:pPr>
      <w:rPr>
        <w:rFonts w:ascii="Arial" w:eastAsiaTheme="minorEastAsia" w:hAnsi="Arial" w:cs="Arial" w:hint="default"/>
        <w:b/>
      </w:rPr>
    </w:lvl>
    <w:lvl w:ilvl="1" w:tplc="240A0003" w:tentative="1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11" w15:restartNumberingAfterBreak="0">
    <w:nsid w:val="74BC1D22"/>
    <w:multiLevelType w:val="hybridMultilevel"/>
    <w:tmpl w:val="D5BADD4A"/>
    <w:lvl w:ilvl="0" w:tplc="06BCB484">
      <w:start w:val="8"/>
      <w:numFmt w:val="bullet"/>
      <w:lvlText w:val="•"/>
      <w:lvlJc w:val="left"/>
      <w:pPr>
        <w:ind w:left="532" w:hanging="360"/>
      </w:pPr>
      <w:rPr>
        <w:rFonts w:ascii="Arial" w:eastAsiaTheme="minorEastAsia" w:hAnsi="Arial" w:cs="Arial" w:hint="default"/>
        <w:b/>
      </w:rPr>
    </w:lvl>
    <w:lvl w:ilvl="1" w:tplc="240A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2" w15:restartNumberingAfterBreak="0">
    <w:nsid w:val="79377AF1"/>
    <w:multiLevelType w:val="hybridMultilevel"/>
    <w:tmpl w:val="66C61728"/>
    <w:lvl w:ilvl="0" w:tplc="06BCB484">
      <w:start w:val="8"/>
      <w:numFmt w:val="bullet"/>
      <w:lvlText w:val="•"/>
      <w:lvlJc w:val="left"/>
      <w:pPr>
        <w:ind w:left="532" w:hanging="360"/>
      </w:pPr>
      <w:rPr>
        <w:rFonts w:ascii="Arial" w:eastAsiaTheme="minorEastAsia" w:hAnsi="Arial" w:cs="Arial" w:hint="default"/>
        <w:b/>
      </w:rPr>
    </w:lvl>
    <w:lvl w:ilvl="1" w:tplc="240A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num w:numId="1" w16cid:durableId="818113653">
    <w:abstractNumId w:val="8"/>
  </w:num>
  <w:num w:numId="2" w16cid:durableId="133721093">
    <w:abstractNumId w:val="6"/>
  </w:num>
  <w:num w:numId="3" w16cid:durableId="952906281">
    <w:abstractNumId w:val="5"/>
  </w:num>
  <w:num w:numId="4" w16cid:durableId="947084069">
    <w:abstractNumId w:val="4"/>
  </w:num>
  <w:num w:numId="5" w16cid:durableId="359354829">
    <w:abstractNumId w:val="7"/>
  </w:num>
  <w:num w:numId="6" w16cid:durableId="633678982">
    <w:abstractNumId w:val="3"/>
  </w:num>
  <w:num w:numId="7" w16cid:durableId="1714228952">
    <w:abstractNumId w:val="2"/>
  </w:num>
  <w:num w:numId="8" w16cid:durableId="859900868">
    <w:abstractNumId w:val="1"/>
  </w:num>
  <w:num w:numId="9" w16cid:durableId="770709965">
    <w:abstractNumId w:val="0"/>
  </w:num>
  <w:num w:numId="10" w16cid:durableId="1526409232">
    <w:abstractNumId w:val="9"/>
  </w:num>
  <w:num w:numId="11" w16cid:durableId="218707651">
    <w:abstractNumId w:val="10"/>
  </w:num>
  <w:num w:numId="12" w16cid:durableId="370156949">
    <w:abstractNumId w:val="12"/>
  </w:num>
  <w:num w:numId="13" w16cid:durableId="20469097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E5403"/>
    <w:rsid w:val="0015074B"/>
    <w:rsid w:val="001C43B1"/>
    <w:rsid w:val="001F37D0"/>
    <w:rsid w:val="00287401"/>
    <w:rsid w:val="0029639D"/>
    <w:rsid w:val="002A1343"/>
    <w:rsid w:val="00326F90"/>
    <w:rsid w:val="004A29C4"/>
    <w:rsid w:val="005B7020"/>
    <w:rsid w:val="00782896"/>
    <w:rsid w:val="00893564"/>
    <w:rsid w:val="009540D2"/>
    <w:rsid w:val="00984D60"/>
    <w:rsid w:val="009D064A"/>
    <w:rsid w:val="00AA1D8D"/>
    <w:rsid w:val="00B47730"/>
    <w:rsid w:val="00B96A0A"/>
    <w:rsid w:val="00CB0664"/>
    <w:rsid w:val="00CF4F8A"/>
    <w:rsid w:val="00E54222"/>
    <w:rsid w:val="00EA53A2"/>
    <w:rsid w:val="00EB0027"/>
    <w:rsid w:val="00F153F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FD46AB"/>
  <w14:defaultImageDpi w14:val="300"/>
  <w15:docId w15:val="{B35D0FB8-8FA0-4E8C-90BA-856D6891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727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ejecutivo de síntesis - Infancia Bogotá D.C.</dc:title>
  <dc:subject>Síntesis de comportamiento poblacional y afiliación 0-9 años, 2021-2025</dc:subject>
  <dc:creator>Equipo de análisis estratégico del aseguramiento - SDS</dc:creator>
  <cp:keywords/>
  <dc:description>generated by python-docx</dc:description>
  <cp:lastModifiedBy>Asus</cp:lastModifiedBy>
  <cp:revision>2</cp:revision>
  <dcterms:created xsi:type="dcterms:W3CDTF">2026-05-20T19:17:00Z</dcterms:created>
  <dcterms:modified xsi:type="dcterms:W3CDTF">2026-05-20T19:17:00Z</dcterms:modified>
  <cp:category/>
</cp:coreProperties>
</file>